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186C6">
      <w:pPr>
        <w:keepNext w:val="0"/>
        <w:keepLines w:val="0"/>
        <w:pageBreakBefore w:val="0"/>
        <w:widowControl/>
        <w:shd w:val="clear" w:color="auto" w:fill="FFFFFF"/>
        <w:kinsoku/>
        <w:wordWrap/>
        <w:overflowPunct/>
        <w:topLinePunct w:val="0"/>
        <w:autoSpaceDE/>
        <w:autoSpaceDN/>
        <w:bidi w:val="0"/>
        <w:adjustRightInd/>
        <w:snapToGrid/>
        <w:spacing w:after="0" w:line="56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8.</w:t>
      </w:r>
      <w:r>
        <w:rPr>
          <w:rFonts w:hint="eastAsia" w:ascii="方正小标宋简体" w:hAnsi="方正小标宋简体" w:eastAsia="方正小标宋简体" w:cs="方正小标宋简体"/>
          <w:sz w:val="44"/>
          <w:szCs w:val="44"/>
        </w:rPr>
        <w:t>燃气经营</w:t>
      </w:r>
      <w:r>
        <w:rPr>
          <w:rFonts w:hint="eastAsia" w:ascii="方正小标宋简体" w:hAnsi="方正小标宋简体" w:eastAsia="方正小标宋简体" w:cs="方正小标宋简体"/>
          <w:sz w:val="44"/>
          <w:szCs w:val="44"/>
          <w:lang w:eastAsia="zh-CN"/>
        </w:rPr>
        <w:t>者</w:t>
      </w:r>
      <w:r>
        <w:rPr>
          <w:rFonts w:hint="eastAsia" w:ascii="方正小标宋简体" w:hAnsi="方正小标宋简体" w:eastAsia="方正小标宋简体" w:cs="方正小标宋简体"/>
          <w:sz w:val="44"/>
          <w:szCs w:val="44"/>
        </w:rPr>
        <w:t>改动市政燃气设施审批事中</w:t>
      </w:r>
    </w:p>
    <w:p w14:paraId="2FAE9A55">
      <w:pPr>
        <w:keepNext w:val="0"/>
        <w:keepLines w:val="0"/>
        <w:pageBreakBefore w:val="0"/>
        <w:widowControl/>
        <w:shd w:val="clear" w:color="auto" w:fill="FFFFFF"/>
        <w:kinsoku/>
        <w:wordWrap/>
        <w:overflowPunct/>
        <w:topLinePunct w:val="0"/>
        <w:autoSpaceDE/>
        <w:autoSpaceDN/>
        <w:bidi w:val="0"/>
        <w:adjustRightInd/>
        <w:snapToGrid/>
        <w:spacing w:after="0" w:line="56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事后监管细则</w:t>
      </w:r>
    </w:p>
    <w:p w14:paraId="31A0B1DF">
      <w:pPr>
        <w:keepNext w:val="0"/>
        <w:keepLines w:val="0"/>
        <w:pageBreakBefore w:val="0"/>
        <w:widowControl/>
        <w:shd w:val="clear" w:color="auto" w:fill="FFFFFF"/>
        <w:kinsoku/>
        <w:wordWrap/>
        <w:overflowPunct/>
        <w:topLinePunct w:val="0"/>
        <w:autoSpaceDE/>
        <w:autoSpaceDN/>
        <w:bidi w:val="0"/>
        <w:adjustRightInd/>
        <w:snapToGrid/>
        <w:spacing w:after="0" w:line="560" w:lineRule="exact"/>
        <w:jc w:val="center"/>
        <w:textAlignment w:val="auto"/>
        <w:outlineLvl w:val="9"/>
        <w:rPr>
          <w:rFonts w:hint="eastAsia" w:ascii="方正小标宋简体" w:hAnsi="方正小标宋简体" w:eastAsia="方正小标宋简体" w:cs="方正小标宋简体"/>
          <w:sz w:val="44"/>
          <w:szCs w:val="44"/>
        </w:rPr>
      </w:pPr>
    </w:p>
    <w:p w14:paraId="5D0CA2B8">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为深入推进简政放权、放管结合、优化服务，加强燃气经营</w:t>
      </w:r>
      <w:r>
        <w:rPr>
          <w:rFonts w:hint="eastAsia" w:ascii="仿宋" w:hAnsi="仿宋" w:eastAsia="仿宋" w:cs="仿宋"/>
          <w:sz w:val="32"/>
          <w:szCs w:val="32"/>
          <w:lang w:val="zh-CN" w:eastAsia="zh-CN"/>
        </w:rPr>
        <w:t>者</w:t>
      </w:r>
      <w:r>
        <w:rPr>
          <w:rFonts w:hint="eastAsia" w:ascii="仿宋" w:hAnsi="仿宋" w:eastAsia="仿宋" w:cs="仿宋"/>
          <w:sz w:val="32"/>
          <w:szCs w:val="32"/>
          <w:lang w:val="zh-CN"/>
        </w:rPr>
        <w:t>改动市政燃气设施事中事后监管工作，规范行政行为，根据相关法律法规和《安徽省住房和城乡建设厅行政权力运行监管细则》，结合燃气经营者改动市政燃气设施审批实际，制定本监管细则。</w:t>
      </w:r>
    </w:p>
    <w:p w14:paraId="1CB8E9DF">
      <w:pPr>
        <w:keepNext w:val="0"/>
        <w:keepLines w:val="0"/>
        <w:pageBreakBefore w:val="0"/>
        <w:kinsoku/>
        <w:wordWrap/>
        <w:overflowPunct/>
        <w:topLinePunct w:val="0"/>
        <w:autoSpaceDE w:val="0"/>
        <w:autoSpaceDN w:val="0"/>
        <w:bidi w:val="0"/>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
          <w:sz w:val="32"/>
          <w:szCs w:val="32"/>
          <w:lang w:val="zh-CN"/>
        </w:rPr>
        <w:t>第</w:t>
      </w:r>
      <w:r>
        <w:rPr>
          <w:rFonts w:hint="eastAsia" w:ascii="仿宋" w:hAnsi="仿宋" w:eastAsia="仿宋" w:cs="仿宋"/>
          <w:sz w:val="32"/>
          <w:szCs w:val="32"/>
          <w:lang w:val="en-US" w:eastAsia="zh-CN"/>
        </w:rPr>
        <w:t>8项</w:t>
      </w:r>
      <w:r>
        <w:rPr>
          <w:rFonts w:hint="eastAsia" w:ascii="仿宋" w:hAnsi="仿宋" w:eastAsia="仿宋" w:cs="仿宋"/>
          <w:sz w:val="32"/>
          <w:szCs w:val="32"/>
          <w:lang w:val="zh-CN"/>
        </w:rPr>
        <w:t>，权力类型：行政许可，项目名称为：燃气经营者改动市政燃气设施审批。</w:t>
      </w:r>
    </w:p>
    <w:p w14:paraId="479D1D1D">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bCs/>
          <w:sz w:val="32"/>
          <w:szCs w:val="32"/>
        </w:rPr>
        <w:t>一、监管任务</w:t>
      </w:r>
    </w:p>
    <w:p w14:paraId="6D36FB70">
      <w:pPr>
        <w:keepNext w:val="0"/>
        <w:keepLines w:val="0"/>
        <w:pageBreakBefore w:val="0"/>
        <w:kinsoku/>
        <w:wordWrap/>
        <w:overflowPunct/>
        <w:topLinePunct w:val="0"/>
        <w:autoSpaceDE w:val="0"/>
        <w:autoSpaceDN w:val="0"/>
        <w:bidi w:val="0"/>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县住房和城乡建设局依照相关法律、法规的规定，通过对城市燃气经营及改动市政燃气设施审批的事中事后监管措施，规范城市燃气经营者改动燃气设施，纠正和查处违法行为，确保城市燃气安全。</w:t>
      </w:r>
    </w:p>
    <w:p w14:paraId="37536A3A">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黑体" w:hAnsi="黑体" w:eastAsia="黑体" w:cs="黑体"/>
          <w:bCs/>
          <w:sz w:val="32"/>
          <w:szCs w:val="32"/>
        </w:rPr>
      </w:pPr>
      <w:r>
        <w:rPr>
          <w:rFonts w:hint="eastAsia" w:ascii="黑体" w:hAnsi="黑体" w:eastAsia="黑体" w:cs="黑体"/>
          <w:bCs/>
          <w:sz w:val="32"/>
          <w:szCs w:val="32"/>
        </w:rPr>
        <w:t>二、事中监管</w:t>
      </w:r>
    </w:p>
    <w:p w14:paraId="66F6205A">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（一）明确检查程序。</w:t>
      </w:r>
    </w:p>
    <w:p w14:paraId="28675118">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1.制定监督检查方案，并经审核批准。现场检查方案应包括日程安排、检查标准和检查内容、检查组成员及分工等。</w:t>
      </w:r>
    </w:p>
    <w:p w14:paraId="605FD7A6">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2.实施监督检查。检查人员应不少于2人，检查前应出示执法证件，检查采取当场查验、咨询相关群众等方式，检查人员要填写抽查检查记录，如实记录检查情况。</w:t>
      </w:r>
    </w:p>
    <w:p w14:paraId="5BF716EF">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3.监督检查结果。应当以现场检查报告形式告知被检测单位，如实记录现场检查全过程的主要内容，并做出综合评定意见，需要整改的应当提出整改内容及整改期限。现场检查报告内容包括被检查单位基本情况、检查内容、项目整改情况、主要问题和建议、检查人员和被检查单位主要负责人或授权人签字等。</w:t>
      </w:r>
    </w:p>
    <w:p w14:paraId="29CAD489">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4.发现违法行为后依法处置。对有证据证明可能危害城市燃气造成安全隐患的管线等设施及其有关证据材料依法采取拆除、扣押等行政强制措施，符合立案条件的进行立案，依法进行行政处罚。</w:t>
      </w:r>
    </w:p>
    <w:p w14:paraId="168C522A">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5.按照法定程序和要求公布监管信息。</w:t>
      </w:r>
    </w:p>
    <w:p w14:paraId="0E823A28">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（二）实施现场检查。</w:t>
      </w:r>
    </w:p>
    <w:p w14:paraId="4D7EA880">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1.建设单位（个人）是否依法取得《准予行政许可决定书》。</w:t>
      </w:r>
    </w:p>
    <w:p w14:paraId="1368D9B7">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2.建设的各种管线等设施是否符合《准予行政许可决定书》要求。</w:t>
      </w:r>
    </w:p>
    <w:p w14:paraId="52B5F513">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3.建设所需的原料、辅料，是否符合安全要求。</w:t>
      </w:r>
    </w:p>
    <w:p w14:paraId="4B597510">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4.未经批准或者不合格的各种管线等设施被公报通告后是否进行整改。</w:t>
      </w:r>
    </w:p>
    <w:p w14:paraId="2CD3E791">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5.是否符合相关法律法规的要求。  </w:t>
      </w:r>
    </w:p>
    <w:p w14:paraId="7C44D66C">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（三）建立监管档案。</w:t>
      </w:r>
    </w:p>
    <w:p w14:paraId="1F53CAA2">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县住房和城乡建设局建立本行政区域内城市燃气经营者改动市政燃气设施的单位（个人）监管档案。监管档案主要内容包括：1.《准予行政许可决定书》复印件。《准予行政许可决定书》变更记录页或批件。2.安全评估报告。3.事故预警和应急抢救方案。4.建设工程规划许可证。5.施工图和效果图。6.申请人相关材料，申请人相关变更情况的备案资料。7.监督检查报告、企业（个人）整改报告及整改复查报告。8.事故处理的有关材料。9.违法、违规等不良行为记录。10.其他应列入监督档案的资料。</w:t>
      </w:r>
    </w:p>
    <w:p w14:paraId="5BCE0079">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（四）实施信用监管。</w:t>
      </w:r>
    </w:p>
    <w:p w14:paraId="6763A8B8">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建立信用监管档案。采集、记录日常监管、违法违规、举报投诉、表彰奖励等信息。定期评定申请人安全信用等级，并根据信用等级评定结果，对失信企业（个人）加大监督检查频次，实施重点监管。对严重违反相关法律法规的，按照规定纳入城市管理领域“黑名单”管理。</w:t>
      </w:r>
    </w:p>
    <w:p w14:paraId="61AC2F1A">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（五）实施协同监管。</w:t>
      </w:r>
    </w:p>
    <w:p w14:paraId="1E8DBD7C">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按照权责匹配、权责一致的原则，推进监管信息共享。加强县住房和城乡建设局与公安等部门的沟通协作，建立健全行政审批、行业主管与后续监管协调一致的监管机制。</w:t>
      </w:r>
    </w:p>
    <w:p w14:paraId="23AE53BB">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黑体" w:hAnsi="黑体" w:eastAsia="黑体" w:cs="黑体"/>
          <w:bCs/>
          <w:sz w:val="32"/>
          <w:szCs w:val="32"/>
        </w:rPr>
      </w:pPr>
      <w:r>
        <w:rPr>
          <w:rFonts w:hint="eastAsia" w:ascii="黑体" w:hAnsi="黑体" w:eastAsia="黑体" w:cs="黑体"/>
          <w:bCs/>
          <w:sz w:val="32"/>
          <w:szCs w:val="32"/>
        </w:rPr>
        <w:t>三、事后监管</w:t>
      </w:r>
    </w:p>
    <w:p w14:paraId="194EB7FE">
      <w:pPr>
        <w:keepNext w:val="0"/>
        <w:keepLines w:val="0"/>
        <w:pageBreakBefore w:val="0"/>
        <w:widowControl w:val="0"/>
        <w:kinsoku/>
        <w:wordWrap/>
        <w:overflowPunct/>
        <w:topLinePunct w:val="0"/>
        <w:autoSpaceDE w:val="0"/>
        <w:autoSpaceDN w:val="0"/>
        <w:bidi w:val="0"/>
        <w:snapToGrid/>
        <w:spacing w:after="0" w:line="560" w:lineRule="exact"/>
        <w:ind w:firstLine="640" w:firstLineChars="200"/>
        <w:jc w:val="both"/>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一）个人和组织发现无合法手续改动市政燃气设施，危害公共财产和人身安全时，有权向县住房和城乡建设局举报，县住房和城乡建设局应当及时核实、处理，并将处理结果及时反馈给举报人。举报地址：祁门县住建局，举报电话：0559-</w:t>
      </w:r>
      <w:r>
        <w:rPr>
          <w:rFonts w:hint="eastAsia" w:ascii="仿宋" w:hAnsi="仿宋" w:eastAsia="仿宋" w:cs="仿宋"/>
          <w:sz w:val="32"/>
          <w:szCs w:val="32"/>
          <w:lang w:val="en-US" w:eastAsia="zh-CN"/>
        </w:rPr>
        <w:t>4505663</w:t>
      </w:r>
      <w:r>
        <w:rPr>
          <w:rFonts w:hint="eastAsia" w:ascii="仿宋" w:hAnsi="仿宋" w:eastAsia="仿宋" w:cs="仿宋"/>
          <w:sz w:val="32"/>
          <w:szCs w:val="32"/>
          <w:lang w:val="zh-CN"/>
        </w:rPr>
        <w:t>。</w:t>
      </w:r>
    </w:p>
    <w:p w14:paraId="4628B0CD">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二）对检查中发现的违法问题，符合立案条件的，及时立案查处。根据《中华人民共和国行政处罚法》规定，对立案查处案件严格履行调查取证程序，并通过召开案件审理会等方式讨论案件、作出决定。对于作出的行政处罚决定要严格执行。</w:t>
      </w:r>
    </w:p>
    <w:p w14:paraId="6F14632B">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（三）发现涉嫌危害公共人身、财产安全犯罪的，按照有关规定及时将案件移送公安机关。公安机关商请提供协助的，县住房和城乡建设局及时提供。</w:t>
      </w:r>
    </w:p>
    <w:p w14:paraId="1E4C30D1">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（四）行政相对人和利害关系人对县住房和城乡建设局在日常监管工作中作出的具体行政决定不服的，可以自收到决定之日60日内向</w:t>
      </w:r>
      <w:r>
        <w:rPr>
          <w:rFonts w:hint="eastAsia" w:ascii="仿宋" w:hAnsi="仿宋" w:eastAsia="仿宋" w:cs="仿宋_GB2312"/>
          <w:sz w:val="32"/>
          <w:szCs w:val="32"/>
          <w:lang w:eastAsia="zh-CN"/>
        </w:rPr>
        <w:t>祁门县</w:t>
      </w:r>
      <w:r>
        <w:rPr>
          <w:rFonts w:hint="eastAsia" w:ascii="仿宋" w:hAnsi="仿宋" w:eastAsia="仿宋" w:cs="仿宋_GB2312"/>
          <w:sz w:val="32"/>
          <w:szCs w:val="32"/>
          <w:lang w:val="zh-CN"/>
        </w:rPr>
        <w:t>人民政府或市住建局</w:t>
      </w:r>
      <w:r>
        <w:rPr>
          <w:rFonts w:hint="eastAsia" w:ascii="仿宋_GB2312" w:hAnsi="宋体" w:eastAsia="仿宋_GB2312"/>
          <w:color w:val="000000"/>
          <w:kern w:val="0"/>
          <w:sz w:val="32"/>
          <w:szCs w:val="32"/>
          <w:lang w:val="zh-CN"/>
        </w:rPr>
        <w:t>申请行政复议</w:t>
      </w:r>
      <w:r>
        <w:rPr>
          <w:rFonts w:hint="eastAsia" w:ascii="仿宋" w:hAnsi="仿宋" w:eastAsia="仿宋" w:cs="仿宋"/>
          <w:sz w:val="32"/>
          <w:szCs w:val="32"/>
          <w:lang w:val="zh-CN"/>
        </w:rPr>
        <w:t>，也可以于6个月内依法向人民法院提起行政诉讼。行政复议或者行政诉讼期间，行政决定不停止执行。</w:t>
      </w:r>
    </w:p>
    <w:p w14:paraId="161EFFB9">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黑体" w:hAnsi="黑体" w:eastAsia="黑体" w:cs="黑体"/>
          <w:bCs/>
          <w:sz w:val="32"/>
          <w:szCs w:val="32"/>
        </w:rPr>
      </w:pPr>
      <w:r>
        <w:rPr>
          <w:rFonts w:hint="eastAsia" w:ascii="黑体" w:hAnsi="黑体" w:eastAsia="黑体" w:cs="黑体"/>
          <w:bCs/>
          <w:sz w:val="32"/>
          <w:szCs w:val="32"/>
        </w:rPr>
        <w:t>四、责任追溯</w:t>
      </w:r>
    </w:p>
    <w:p w14:paraId="08E597EB">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一）加强人员监督。对不符合审批条件的申请人发放准予行政许可决定书；或者对符合审批条件的申请人不发放准予行政许可决定书；或者超越法定职权、超过法定期限、不按法定程序发放准予行政许可决定书的，对直接负责的主管人员和其他直接责任人员依法给予处分，构成犯罪的，依法追究刑事责任。县住房和城乡建设局加强人员监督，重点对监管执法人员是否定期赴现场检查、是否严</w:t>
      </w:r>
      <w:bookmarkStart w:id="0" w:name="_GoBack"/>
      <w:bookmarkEnd w:id="0"/>
      <w:r>
        <w:rPr>
          <w:rFonts w:hint="eastAsia" w:ascii="仿宋" w:hAnsi="仿宋" w:eastAsia="仿宋" w:cs="仿宋"/>
          <w:sz w:val="32"/>
          <w:szCs w:val="32"/>
          <w:lang w:val="zh-CN"/>
        </w:rPr>
        <w:t>格执行监管措施、是否认真填报检查事项进行监督问责。</w:t>
      </w:r>
    </w:p>
    <w:p w14:paraId="62234847">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二）建立责任追究机制。监管责任追究实行过错责任追究，根据过错责任的大小实施相应的追究方式。包括：责令改正、责令作出书面检查、给予通报批评、调离工作岗位或者停职、给予行政处分、没收和追缴违法违纪所得；涉嫌犯罪的，移交司法机关处理。</w:t>
      </w:r>
    </w:p>
    <w:p w14:paraId="35820F19">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黑体" w:hAnsi="黑体" w:eastAsia="黑体" w:cs="黑体"/>
          <w:bCs/>
          <w:sz w:val="32"/>
          <w:szCs w:val="32"/>
        </w:rPr>
      </w:pPr>
      <w:r>
        <w:rPr>
          <w:rFonts w:hint="eastAsia" w:ascii="黑体" w:hAnsi="黑体" w:eastAsia="黑体" w:cs="黑体"/>
          <w:bCs/>
          <w:sz w:val="32"/>
          <w:szCs w:val="32"/>
        </w:rPr>
        <w:t>五、保障措施</w:t>
      </w:r>
    </w:p>
    <w:p w14:paraId="7633A0F0">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一）实施“审批查”改革。县住房和城乡建设局要高度重视燃气经营及改动市政燃气设施事中事后监管工作，按照“审、批、查”相互分离、相互衔接和简政放权、放管结合、转变职能的要求，强化组织领导，完善监管办法，落实保障措施，严肃查处问题，确保事中事后监管工作有序进行。</w:t>
      </w:r>
    </w:p>
    <w:p w14:paraId="36569149">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二）加强人员培训。县住房和城乡建设局应当加强对监管执法人员相关城市管理领域法律、法规、标准和专业知识与执法能力培训，并适时组织考核。不具备相应知识和能力的，不得从事依附于城市管道、桥梁建设各种管线、杆线等设施监管工作。</w:t>
      </w:r>
    </w:p>
    <w:p w14:paraId="0439FF25">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（三）加强普法宣传。运用多种方式宣传城市道路管理等法律法规，提升管理相对人和公众的法律意识。</w:t>
      </w:r>
    </w:p>
    <w:p w14:paraId="11EE1851">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黑体" w:hAnsi="黑体" w:eastAsia="黑体" w:cs="黑体"/>
          <w:bCs/>
          <w:sz w:val="32"/>
          <w:szCs w:val="32"/>
        </w:rPr>
      </w:pPr>
      <w:r>
        <w:rPr>
          <w:rFonts w:hint="eastAsia" w:ascii="黑体" w:hAnsi="黑体" w:eastAsia="黑体" w:cs="黑体"/>
          <w:bCs/>
          <w:sz w:val="32"/>
          <w:szCs w:val="32"/>
        </w:rPr>
        <w:t>六、主要依据</w:t>
      </w:r>
    </w:p>
    <w:p w14:paraId="46FBC897">
      <w:pPr>
        <w:keepNext w:val="0"/>
        <w:keepLines w:val="0"/>
        <w:pageBreakBefore w:val="0"/>
        <w:shd w:val="clear" w:color="auto" w:fill="FFFFFF"/>
        <w:kinsoku/>
        <w:wordWrap/>
        <w:overflowPunct/>
        <w:topLinePunct w:val="0"/>
        <w:bidi w:val="0"/>
        <w:adjustRightInd/>
        <w:snapToGrid/>
        <w:spacing w:after="0" w:line="560" w:lineRule="exact"/>
        <w:ind w:firstLine="640" w:firstLineChars="200"/>
        <w:textAlignment w:val="auto"/>
        <w:outlineLvl w:val="9"/>
        <w:rPr>
          <w:rFonts w:hint="eastAsia" w:ascii="仿宋" w:hAnsi="仿宋" w:eastAsia="仿宋" w:cs="仿宋"/>
          <w:sz w:val="32"/>
          <w:szCs w:val="32"/>
          <w:lang w:val="zh-CN"/>
        </w:rPr>
      </w:pPr>
      <w:r>
        <w:rPr>
          <w:rFonts w:hint="eastAsia" w:ascii="仿宋" w:hAnsi="仿宋" w:eastAsia="仿宋" w:cs="仿宋"/>
          <w:sz w:val="32"/>
          <w:szCs w:val="32"/>
          <w:lang w:val="zh-CN"/>
        </w:rPr>
        <w:t>《城镇燃气管理条例》（国务院令第666号）第三十八条。</w:t>
      </w:r>
    </w:p>
    <w:p w14:paraId="4A52A7F8">
      <w:pPr>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sz w:val="32"/>
          <w:szCs w:val="32"/>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33424D4C"/>
    <w:rsid w:val="33424D4C"/>
    <w:rsid w:val="3FA56107"/>
    <w:rsid w:val="50907E2D"/>
    <w:rsid w:val="53B953D5"/>
    <w:rsid w:val="55B4527F"/>
    <w:rsid w:val="5C94236B"/>
    <w:rsid w:val="63671096"/>
    <w:rsid w:val="77895F51"/>
    <w:rsid w:val="7F0C3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2309</Words>
  <Characters>2348</Characters>
  <Lines>0</Lines>
  <Paragraphs>0</Paragraphs>
  <TotalTime>0</TotalTime>
  <ScaleCrop>false</ScaleCrop>
  <LinksUpToDate>false</LinksUpToDate>
  <CharactersWithSpaces>2350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2024-01-17T09:03:00Z</dcterms:created>
  <dc:creator>沉默的小布芬</dc:creator>
  <cp:lastModifiedBy>一点不稀奇</cp:lastModifiedBy>
  <dcterms:modified xsi:type="dcterms:W3CDTF">2025-11-25T03:54:05Z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A6A265F8D0444D239898532FFB207AB8_11</vt:lpwstr>
  </property>
  <property fmtid="{D5CDD505-2E9C-101B-9397-08002B2CF9AE}" pid="4" name="KSOTemplateDocerSaveRecord">
    <vt:lpwstr>eyJoZGlkIjoiM2RmMzNjYWMzOGRlYzJmNTAyMGRhYjM5YjYzM2Y2NTYiLCJ1c2VySWQiOiI0OTcyODYwNzIifQ==</vt:lpwstr>
  </property>
</Properties>
</file>